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9AAD3" w14:textId="493514C5" w:rsidR="00750EB1" w:rsidRDefault="00147C48" w:rsidP="00147C48">
      <w:pPr>
        <w:spacing w:after="0" w:line="240" w:lineRule="auto"/>
        <w:jc w:val="center"/>
        <w:rPr>
          <w:rFonts w:ascii="Calibri" w:hAnsi="Calibri" w:cs="Calibri"/>
          <w:b/>
          <w:bCs/>
          <w:sz w:val="32"/>
          <w:szCs w:val="32"/>
          <w:lang w:val="es-AR"/>
        </w:rPr>
      </w:pPr>
      <w:r w:rsidRPr="00147C48">
        <w:rPr>
          <w:rFonts w:ascii="Calibri" w:hAnsi="Calibri" w:cs="Calibri"/>
          <w:b/>
          <w:bCs/>
          <w:sz w:val="32"/>
          <w:szCs w:val="32"/>
          <w:lang w:val="es-AR"/>
        </w:rPr>
        <w:t>Medellín será sede de la gran final del Winner Poker Series 2026 con COP $1.800 millones garantizados</w:t>
      </w:r>
    </w:p>
    <w:p w14:paraId="2F5B9D63" w14:textId="77777777" w:rsidR="00147C48" w:rsidRDefault="00147C48" w:rsidP="00147C48">
      <w:pPr>
        <w:spacing w:after="0" w:line="240" w:lineRule="auto"/>
        <w:jc w:val="center"/>
        <w:rPr>
          <w:rFonts w:ascii="Calibri" w:hAnsi="Calibri" w:cs="Calibri"/>
          <w:b/>
          <w:bCs/>
          <w:sz w:val="32"/>
          <w:szCs w:val="32"/>
          <w:lang w:val="es-AR"/>
        </w:rPr>
      </w:pPr>
    </w:p>
    <w:p w14:paraId="05B520E2" w14:textId="6904937B" w:rsidR="00147C48" w:rsidRDefault="00147C48" w:rsidP="00147C48">
      <w:pPr>
        <w:spacing w:after="0" w:line="240" w:lineRule="auto"/>
        <w:jc w:val="center"/>
        <w:rPr>
          <w:rFonts w:ascii="Calibri" w:hAnsi="Calibri" w:cs="Calibri"/>
          <w:i/>
          <w:iCs/>
          <w:lang w:val="es-AR"/>
        </w:rPr>
      </w:pPr>
      <w:r w:rsidRPr="00147C48">
        <w:rPr>
          <w:rFonts w:ascii="Calibri" w:hAnsi="Calibri" w:cs="Calibri"/>
          <w:i/>
          <w:iCs/>
          <w:lang w:val="es-AR"/>
        </w:rPr>
        <w:t>La última parada del circuito más importante de póker del país se realizará del 21 de octubre al 2 de noviembre en el Casino Hollywood Milla de Oro, en Medellín.</w:t>
      </w:r>
    </w:p>
    <w:p w14:paraId="6EE47E12" w14:textId="77777777" w:rsidR="00750EB1" w:rsidRDefault="00750EB1" w:rsidP="52756F2F">
      <w:pPr>
        <w:spacing w:after="0" w:line="240" w:lineRule="auto"/>
        <w:jc w:val="both"/>
        <w:rPr>
          <w:rFonts w:ascii="Calibri" w:hAnsi="Calibri" w:cs="Calibri"/>
          <w:i/>
          <w:iCs/>
          <w:lang w:val="es-AR"/>
        </w:rPr>
      </w:pPr>
    </w:p>
    <w:p w14:paraId="123085DA" w14:textId="77777777" w:rsidR="00147C48" w:rsidRPr="00147C48" w:rsidRDefault="001D2F79" w:rsidP="00147C48">
      <w:pPr>
        <w:spacing w:after="0" w:line="240" w:lineRule="auto"/>
        <w:jc w:val="both"/>
        <w:rPr>
          <w:b/>
          <w:bCs/>
          <w:sz w:val="24"/>
          <w:szCs w:val="24"/>
        </w:rPr>
      </w:pPr>
      <w:r w:rsidRPr="6CEB4932">
        <w:rPr>
          <w:b/>
          <w:bCs/>
          <w:sz w:val="24"/>
          <w:szCs w:val="24"/>
        </w:rPr>
        <w:t>Bogotá</w:t>
      </w:r>
      <w:r w:rsidR="52BE5D26" w:rsidRPr="6CEB4932">
        <w:rPr>
          <w:b/>
          <w:bCs/>
          <w:sz w:val="24"/>
          <w:szCs w:val="24"/>
        </w:rPr>
        <w:t xml:space="preserve">, </w:t>
      </w:r>
      <w:r w:rsidR="00147C48">
        <w:rPr>
          <w:b/>
          <w:bCs/>
          <w:sz w:val="24"/>
          <w:szCs w:val="24"/>
        </w:rPr>
        <w:t>septiembre</w:t>
      </w:r>
      <w:r w:rsidR="6F05A469" w:rsidRPr="6CEB4932">
        <w:rPr>
          <w:b/>
          <w:bCs/>
          <w:sz w:val="24"/>
          <w:szCs w:val="24"/>
        </w:rPr>
        <w:t xml:space="preserve"> </w:t>
      </w:r>
      <w:r w:rsidR="52BE5D26" w:rsidRPr="6CEB4932">
        <w:rPr>
          <w:b/>
          <w:bCs/>
          <w:sz w:val="24"/>
          <w:szCs w:val="24"/>
        </w:rPr>
        <w:t>del 202</w:t>
      </w:r>
      <w:r w:rsidR="174424D9" w:rsidRPr="6CEB4932">
        <w:rPr>
          <w:b/>
          <w:bCs/>
          <w:sz w:val="24"/>
          <w:szCs w:val="24"/>
        </w:rPr>
        <w:t>6</w:t>
      </w:r>
      <w:r w:rsidR="30B5EB16" w:rsidRPr="6CEB4932">
        <w:rPr>
          <w:b/>
          <w:bCs/>
          <w:sz w:val="24"/>
          <w:szCs w:val="24"/>
        </w:rPr>
        <w:t>.</w:t>
      </w:r>
      <w:r w:rsidR="52BE5D26" w:rsidRPr="6CEB4932">
        <w:rPr>
          <w:b/>
          <w:bCs/>
          <w:sz w:val="24"/>
          <w:szCs w:val="24"/>
        </w:rPr>
        <w:t xml:space="preserve"> </w:t>
      </w:r>
      <w:r w:rsidR="00147C48" w:rsidRPr="00147C48">
        <w:rPr>
          <w:sz w:val="24"/>
          <w:szCs w:val="24"/>
        </w:rPr>
        <w:t xml:space="preserve">Después de una temporada que ha llevado el póker competitivo a diferentes escenarios del país, el </w:t>
      </w:r>
      <w:r w:rsidR="00147C48" w:rsidRPr="00147C48">
        <w:rPr>
          <w:b/>
          <w:bCs/>
          <w:sz w:val="24"/>
          <w:szCs w:val="24"/>
        </w:rPr>
        <w:t>Winner Poker Series (WPS) se prepara para cerrar su edición 2026 en Medellín. Del 21 de octubre al 2 de noviembre,</w:t>
      </w:r>
      <w:r w:rsidR="00147C48" w:rsidRPr="00147C48">
        <w:rPr>
          <w:sz w:val="24"/>
          <w:szCs w:val="24"/>
        </w:rPr>
        <w:t xml:space="preserve"> los mejores jugadores llegarán a la ciudad para disputar la gran parada final del circuito, que contará con </w:t>
      </w:r>
      <w:r w:rsidR="00147C48" w:rsidRPr="00147C48">
        <w:rPr>
          <w:b/>
          <w:bCs/>
          <w:sz w:val="24"/>
          <w:szCs w:val="24"/>
        </w:rPr>
        <w:t>COP $1.800 millones garantizados en premios y una programación de ocho torneos.</w:t>
      </w:r>
    </w:p>
    <w:p w14:paraId="6A8BCA45" w14:textId="77777777" w:rsidR="00147C48" w:rsidRPr="00147C48" w:rsidRDefault="00147C48" w:rsidP="00147C48">
      <w:pPr>
        <w:spacing w:after="0" w:line="240" w:lineRule="auto"/>
        <w:jc w:val="both"/>
        <w:rPr>
          <w:sz w:val="24"/>
          <w:szCs w:val="24"/>
        </w:rPr>
      </w:pPr>
    </w:p>
    <w:p w14:paraId="0FDB9D40" w14:textId="77777777" w:rsidR="00147C48" w:rsidRPr="00147C48" w:rsidRDefault="00147C48" w:rsidP="00147C48">
      <w:pPr>
        <w:spacing w:after="0" w:line="240" w:lineRule="auto"/>
        <w:jc w:val="both"/>
        <w:rPr>
          <w:sz w:val="24"/>
          <w:szCs w:val="24"/>
        </w:rPr>
      </w:pPr>
      <w:r w:rsidRPr="00147C48">
        <w:rPr>
          <w:sz w:val="24"/>
          <w:szCs w:val="24"/>
        </w:rPr>
        <w:t>El WPS, organizado por Winner Group, se ha consolidado como uno de los principales escenarios para el desarrollo del póker competitivo en Colombia, reuniendo a jugadores de diferentes regiones y poniendo a prueba habilidades como la estrategia, el análisis, la lectura del juego, la administración de recursos y la toma de decisiones bajo presión.</w:t>
      </w:r>
    </w:p>
    <w:p w14:paraId="772C4E1A" w14:textId="77777777" w:rsidR="00147C48" w:rsidRPr="00147C48" w:rsidRDefault="00147C48" w:rsidP="00147C48">
      <w:pPr>
        <w:spacing w:after="0" w:line="240" w:lineRule="auto"/>
        <w:jc w:val="both"/>
        <w:rPr>
          <w:sz w:val="24"/>
          <w:szCs w:val="24"/>
        </w:rPr>
      </w:pPr>
    </w:p>
    <w:p w14:paraId="79BD41F0" w14:textId="77777777" w:rsidR="00147C48" w:rsidRPr="00147C48" w:rsidRDefault="00147C48" w:rsidP="00147C48">
      <w:pPr>
        <w:spacing w:after="0" w:line="240" w:lineRule="auto"/>
        <w:jc w:val="both"/>
        <w:rPr>
          <w:b/>
          <w:bCs/>
          <w:sz w:val="24"/>
          <w:szCs w:val="24"/>
        </w:rPr>
      </w:pPr>
      <w:r w:rsidRPr="00147C48">
        <w:rPr>
          <w:b/>
          <w:bCs/>
          <w:sz w:val="24"/>
          <w:szCs w:val="24"/>
        </w:rPr>
        <w:t>Medellín recibe la gran final</w:t>
      </w:r>
    </w:p>
    <w:p w14:paraId="6C979630" w14:textId="77777777" w:rsidR="00147C48" w:rsidRPr="00147C48" w:rsidRDefault="00147C48" w:rsidP="00147C48">
      <w:pPr>
        <w:spacing w:after="0" w:line="240" w:lineRule="auto"/>
        <w:jc w:val="both"/>
        <w:rPr>
          <w:sz w:val="24"/>
          <w:szCs w:val="24"/>
        </w:rPr>
      </w:pPr>
    </w:p>
    <w:p w14:paraId="0E698EF9" w14:textId="04C15500" w:rsidR="00147C48" w:rsidRPr="00147C48" w:rsidRDefault="00147C48" w:rsidP="00147C48">
      <w:pPr>
        <w:spacing w:after="0" w:line="240" w:lineRule="auto"/>
        <w:jc w:val="both"/>
        <w:rPr>
          <w:sz w:val="24"/>
          <w:szCs w:val="24"/>
        </w:rPr>
      </w:pPr>
      <w:r w:rsidRPr="00147C48">
        <w:rPr>
          <w:sz w:val="24"/>
          <w:szCs w:val="24"/>
        </w:rPr>
        <w:t xml:space="preserve">La última parada del año tendrá como escenario </w:t>
      </w:r>
      <w:r w:rsidRPr="00147C48">
        <w:rPr>
          <w:b/>
          <w:bCs/>
          <w:sz w:val="24"/>
          <w:szCs w:val="24"/>
        </w:rPr>
        <w:t>al Casino Hollywood Milla de Oro, ubicado en El Poblado.</w:t>
      </w:r>
      <w:r w:rsidRPr="00147C48">
        <w:rPr>
          <w:sz w:val="24"/>
          <w:szCs w:val="24"/>
        </w:rPr>
        <w:t xml:space="preserve"> Este casino en Medellín hace parte de la oferta de entretenimiento de Winner Group y cuenta con espacios dedicados al póker, además de una propuesta que integra entretenimiento y gastronomía.</w:t>
      </w:r>
    </w:p>
    <w:p w14:paraId="029EB0B7" w14:textId="77777777" w:rsidR="00147C48" w:rsidRPr="00147C48" w:rsidRDefault="00147C48" w:rsidP="00147C48">
      <w:pPr>
        <w:spacing w:after="0" w:line="240" w:lineRule="auto"/>
        <w:jc w:val="both"/>
        <w:rPr>
          <w:sz w:val="24"/>
          <w:szCs w:val="24"/>
        </w:rPr>
      </w:pPr>
    </w:p>
    <w:p w14:paraId="1CEE102F" w14:textId="77777777" w:rsidR="00147C48" w:rsidRPr="00147C48" w:rsidRDefault="00147C48" w:rsidP="00147C48">
      <w:pPr>
        <w:spacing w:after="0" w:line="240" w:lineRule="auto"/>
        <w:jc w:val="both"/>
        <w:rPr>
          <w:sz w:val="24"/>
          <w:szCs w:val="24"/>
        </w:rPr>
      </w:pPr>
      <w:r w:rsidRPr="00147C48">
        <w:rPr>
          <w:sz w:val="24"/>
          <w:szCs w:val="24"/>
        </w:rPr>
        <w:t>Durante casi dos semanas, los participantes podrán competir por los últimos títulos de la temporada y buscar un lugar entre los nombres destacados de la edición 2026 del Winner Poker Series. La programación contempla ocho torneos, con ocho campeones que tendrán la oportunidad de cerrar el año como protagonistas del circuito.</w:t>
      </w:r>
    </w:p>
    <w:p w14:paraId="73EF9B4A" w14:textId="77777777" w:rsidR="00147C48" w:rsidRPr="00147C48" w:rsidRDefault="00147C48" w:rsidP="00147C48">
      <w:pPr>
        <w:spacing w:after="0" w:line="240" w:lineRule="auto"/>
        <w:jc w:val="both"/>
        <w:rPr>
          <w:sz w:val="24"/>
          <w:szCs w:val="24"/>
        </w:rPr>
      </w:pPr>
    </w:p>
    <w:p w14:paraId="4A2549E9" w14:textId="77777777" w:rsidR="00147C48" w:rsidRPr="00147C48" w:rsidRDefault="00147C48" w:rsidP="00147C48">
      <w:pPr>
        <w:spacing w:after="0" w:line="240" w:lineRule="auto"/>
        <w:jc w:val="both"/>
        <w:rPr>
          <w:sz w:val="24"/>
          <w:szCs w:val="24"/>
        </w:rPr>
      </w:pPr>
      <w:r w:rsidRPr="00147C48">
        <w:rPr>
          <w:sz w:val="24"/>
          <w:szCs w:val="24"/>
        </w:rPr>
        <w:t>Con esta parada, Medellín se convierte nuevamente en uno de los escenarios clave para el póker en Colombia, fortaleciendo la oferta de entretenimiento de la ciudad y el posicionamiento del Casino Hollywood Milla de Oro como sede para competencias de alto nivel.</w:t>
      </w:r>
    </w:p>
    <w:p w14:paraId="13915C5E" w14:textId="77777777" w:rsidR="00147C48" w:rsidRPr="00147C48" w:rsidRDefault="00147C48" w:rsidP="00147C48">
      <w:pPr>
        <w:spacing w:after="0" w:line="240" w:lineRule="auto"/>
        <w:jc w:val="both"/>
        <w:rPr>
          <w:sz w:val="24"/>
          <w:szCs w:val="24"/>
        </w:rPr>
      </w:pPr>
    </w:p>
    <w:p w14:paraId="4A914B21" w14:textId="77777777" w:rsidR="00147C48" w:rsidRPr="00147C48" w:rsidRDefault="00147C48" w:rsidP="00147C48">
      <w:pPr>
        <w:spacing w:after="0" w:line="240" w:lineRule="auto"/>
        <w:jc w:val="both"/>
        <w:rPr>
          <w:b/>
          <w:bCs/>
          <w:sz w:val="24"/>
          <w:szCs w:val="24"/>
        </w:rPr>
      </w:pPr>
      <w:r w:rsidRPr="00147C48">
        <w:rPr>
          <w:b/>
          <w:bCs/>
          <w:sz w:val="24"/>
          <w:szCs w:val="24"/>
        </w:rPr>
        <w:t>Una temporada que recorrió Colombia</w:t>
      </w:r>
    </w:p>
    <w:p w14:paraId="42FC07AE" w14:textId="77777777" w:rsidR="00147C48" w:rsidRPr="00147C48" w:rsidRDefault="00147C48" w:rsidP="00147C48">
      <w:pPr>
        <w:spacing w:after="0" w:line="240" w:lineRule="auto"/>
        <w:jc w:val="both"/>
        <w:rPr>
          <w:sz w:val="24"/>
          <w:szCs w:val="24"/>
        </w:rPr>
      </w:pPr>
    </w:p>
    <w:p w14:paraId="59BF7E1E" w14:textId="77777777" w:rsidR="00147C48" w:rsidRPr="00147C48" w:rsidRDefault="00147C48" w:rsidP="00147C48">
      <w:pPr>
        <w:spacing w:after="0" w:line="240" w:lineRule="auto"/>
        <w:jc w:val="both"/>
        <w:rPr>
          <w:sz w:val="24"/>
          <w:szCs w:val="24"/>
        </w:rPr>
      </w:pPr>
      <w:r w:rsidRPr="00147C48">
        <w:rPr>
          <w:sz w:val="24"/>
          <w:szCs w:val="24"/>
        </w:rPr>
        <w:t>La gran final llega después de una temporada que ha llevado el Winner Poker Series por diferentes ciudades. En agosto, Bogotá fue sede de la tercera parada del circuito, realizada del 18 al 31 de agosto en el Casino Hollywood Bulevar Niza. La competencia reunió a jugadores nacionales e internacionales y contó con COP $4.000 millones garantizados en premios durante toda la serie.</w:t>
      </w:r>
    </w:p>
    <w:p w14:paraId="225631EC" w14:textId="77777777" w:rsidR="00147C48" w:rsidRPr="00147C48" w:rsidRDefault="00147C48" w:rsidP="00147C48">
      <w:pPr>
        <w:spacing w:after="0" w:line="240" w:lineRule="auto"/>
        <w:jc w:val="both"/>
        <w:rPr>
          <w:sz w:val="24"/>
          <w:szCs w:val="24"/>
        </w:rPr>
      </w:pPr>
    </w:p>
    <w:p w14:paraId="5FC5E939" w14:textId="77777777" w:rsidR="00147C48" w:rsidRPr="00147C48" w:rsidRDefault="00147C48" w:rsidP="00147C48">
      <w:pPr>
        <w:spacing w:after="0" w:line="240" w:lineRule="auto"/>
        <w:jc w:val="both"/>
        <w:rPr>
          <w:sz w:val="24"/>
          <w:szCs w:val="24"/>
        </w:rPr>
      </w:pPr>
      <w:r w:rsidRPr="00147C48">
        <w:rPr>
          <w:sz w:val="24"/>
          <w:szCs w:val="24"/>
        </w:rPr>
        <w:lastRenderedPageBreak/>
        <w:t>La parada bogotana cerró con importantes resultados para los participantes. Entre ellos estuvo la victoria de Andrés Carrillo en el High Roller, quien se quedó con un premio de COP $150 millones después de que el torneo alcanzara un pozo de COP $636 millones.</w:t>
      </w:r>
    </w:p>
    <w:p w14:paraId="46911C47" w14:textId="77777777" w:rsidR="00147C48" w:rsidRPr="00147C48" w:rsidRDefault="00147C48" w:rsidP="00147C48">
      <w:pPr>
        <w:spacing w:after="0" w:line="240" w:lineRule="auto"/>
        <w:jc w:val="both"/>
        <w:rPr>
          <w:sz w:val="24"/>
          <w:szCs w:val="24"/>
        </w:rPr>
      </w:pPr>
    </w:p>
    <w:p w14:paraId="47F6B133" w14:textId="77777777" w:rsidR="00147C48" w:rsidRPr="00147C48" w:rsidRDefault="00147C48" w:rsidP="00147C48">
      <w:pPr>
        <w:spacing w:after="0" w:line="240" w:lineRule="auto"/>
        <w:jc w:val="both"/>
        <w:rPr>
          <w:sz w:val="24"/>
          <w:szCs w:val="24"/>
        </w:rPr>
      </w:pPr>
      <w:r w:rsidRPr="00147C48">
        <w:rPr>
          <w:sz w:val="24"/>
          <w:szCs w:val="24"/>
        </w:rPr>
        <w:t>Ahora, la acción se traslada a Medellín para definir a los últimos campeones del año y cerrar el calendario 2026 del Winner Poker Series.</w:t>
      </w:r>
    </w:p>
    <w:p w14:paraId="5DF8D076" w14:textId="77777777" w:rsidR="00147C48" w:rsidRPr="00147C48" w:rsidRDefault="00147C48" w:rsidP="00147C48">
      <w:pPr>
        <w:spacing w:after="0" w:line="240" w:lineRule="auto"/>
        <w:jc w:val="both"/>
        <w:rPr>
          <w:sz w:val="24"/>
          <w:szCs w:val="24"/>
        </w:rPr>
      </w:pPr>
    </w:p>
    <w:p w14:paraId="2D621E07" w14:textId="77777777" w:rsidR="00147C48" w:rsidRPr="00147C48" w:rsidRDefault="00147C48" w:rsidP="00147C48">
      <w:pPr>
        <w:spacing w:after="0" w:line="240" w:lineRule="auto"/>
        <w:jc w:val="both"/>
        <w:rPr>
          <w:b/>
          <w:bCs/>
          <w:sz w:val="24"/>
          <w:szCs w:val="24"/>
        </w:rPr>
      </w:pPr>
      <w:r w:rsidRPr="00147C48">
        <w:rPr>
          <w:b/>
          <w:bCs/>
          <w:sz w:val="24"/>
          <w:szCs w:val="24"/>
        </w:rPr>
        <w:t>Winner Group fortalece el ecosistema del póker en Colombia</w:t>
      </w:r>
    </w:p>
    <w:p w14:paraId="2826C03F" w14:textId="77777777" w:rsidR="00147C48" w:rsidRPr="00147C48" w:rsidRDefault="00147C48" w:rsidP="00147C48">
      <w:pPr>
        <w:spacing w:after="0" w:line="240" w:lineRule="auto"/>
        <w:jc w:val="both"/>
        <w:rPr>
          <w:sz w:val="24"/>
          <w:szCs w:val="24"/>
        </w:rPr>
      </w:pPr>
    </w:p>
    <w:p w14:paraId="71A9F239" w14:textId="77777777" w:rsidR="00147C48" w:rsidRPr="00147C48" w:rsidRDefault="00147C48" w:rsidP="00147C48">
      <w:pPr>
        <w:spacing w:after="0" w:line="240" w:lineRule="auto"/>
        <w:jc w:val="both"/>
        <w:rPr>
          <w:sz w:val="24"/>
          <w:szCs w:val="24"/>
        </w:rPr>
      </w:pPr>
      <w:r w:rsidRPr="00147C48">
        <w:rPr>
          <w:sz w:val="24"/>
          <w:szCs w:val="24"/>
        </w:rPr>
        <w:t>La realización de la gran final hace parte de la estrategia de Winner Group para desarrollar experiencias que integren entretenimiento, competencia y juego responsable, fortaleciendo espacios especializados para una comunidad de jugadores que continúa creciendo en el país.</w:t>
      </w:r>
    </w:p>
    <w:p w14:paraId="1FBE5D89" w14:textId="77777777" w:rsidR="00147C48" w:rsidRPr="00147C48" w:rsidRDefault="00147C48" w:rsidP="00147C48">
      <w:pPr>
        <w:spacing w:after="0" w:line="240" w:lineRule="auto"/>
        <w:jc w:val="both"/>
        <w:rPr>
          <w:sz w:val="24"/>
          <w:szCs w:val="24"/>
        </w:rPr>
      </w:pPr>
    </w:p>
    <w:p w14:paraId="651708BD" w14:textId="77777777" w:rsidR="00147C48" w:rsidRPr="00147C48" w:rsidRDefault="00147C48" w:rsidP="00147C48">
      <w:pPr>
        <w:spacing w:after="0" w:line="240" w:lineRule="auto"/>
        <w:jc w:val="both"/>
        <w:rPr>
          <w:sz w:val="24"/>
          <w:szCs w:val="24"/>
        </w:rPr>
      </w:pPr>
      <w:r w:rsidRPr="00147C48">
        <w:rPr>
          <w:sz w:val="24"/>
          <w:szCs w:val="24"/>
        </w:rPr>
        <w:t>Además de sus diferentes torneos y competencias de póker, Winner Group cuenta con una red de casinos en distintas ciudades de Colombia, entre ellos Casino Hollywood, Casino Rio, Casino Rock’n Jazz, Casino Broadway, Casino Havana, Casino Caribe y Casino Condado. La compañía tiene presencia en Medellín con establecimientos como Casino Hollywood Milla de Oro y Casino Rio Medellín, ampliando la oferta de entretenimiento de la ciudad.</w:t>
      </w:r>
    </w:p>
    <w:p w14:paraId="3FB72ECD" w14:textId="77777777" w:rsidR="00147C48" w:rsidRPr="00147C48" w:rsidRDefault="00147C48" w:rsidP="00147C48">
      <w:pPr>
        <w:spacing w:after="0" w:line="240" w:lineRule="auto"/>
        <w:jc w:val="both"/>
        <w:rPr>
          <w:sz w:val="24"/>
          <w:szCs w:val="24"/>
        </w:rPr>
      </w:pPr>
    </w:p>
    <w:p w14:paraId="62FC687E" w14:textId="6E70C8F2" w:rsidR="011BDD60" w:rsidRDefault="00147C48" w:rsidP="00147C48">
      <w:pPr>
        <w:spacing w:after="0" w:line="240" w:lineRule="auto"/>
        <w:jc w:val="both"/>
        <w:rPr>
          <w:sz w:val="24"/>
          <w:szCs w:val="24"/>
        </w:rPr>
      </w:pPr>
      <w:r w:rsidRPr="00147C48">
        <w:rPr>
          <w:sz w:val="24"/>
          <w:szCs w:val="24"/>
        </w:rPr>
        <w:t>Con la gran final del Winner Poker Series, Casino Hollywood Milla de Oro se prepara para recibir a los protagonistas del póker colombiano</w:t>
      </w:r>
      <w:r>
        <w:rPr>
          <w:sz w:val="24"/>
          <w:szCs w:val="24"/>
        </w:rPr>
        <w:t>.</w:t>
      </w:r>
    </w:p>
    <w:p w14:paraId="3492D5B7" w14:textId="77777777" w:rsidR="00147C48" w:rsidRDefault="00147C48" w:rsidP="00147C48">
      <w:pPr>
        <w:spacing w:after="0" w:line="240" w:lineRule="auto"/>
        <w:jc w:val="both"/>
        <w:rPr>
          <w:sz w:val="24"/>
          <w:szCs w:val="24"/>
        </w:rPr>
      </w:pPr>
    </w:p>
    <w:p w14:paraId="2682F67D" w14:textId="220E4A0C" w:rsidR="4561602D" w:rsidRDefault="4561602D" w:rsidP="59A828A0">
      <w:pPr>
        <w:spacing w:after="0" w:line="240" w:lineRule="auto"/>
        <w:rPr>
          <w:rFonts w:ascii="Aptos" w:eastAsia="Aptos" w:hAnsi="Aptos" w:cs="Aptos"/>
          <w:color w:val="000000" w:themeColor="text1"/>
          <w:sz w:val="18"/>
          <w:szCs w:val="18"/>
        </w:rPr>
      </w:pPr>
      <w:r w:rsidRPr="59A828A0">
        <w:rPr>
          <w:rStyle w:val="normaltextrun"/>
          <w:rFonts w:ascii="Aptos" w:eastAsia="Aptos" w:hAnsi="Aptos" w:cs="Aptos"/>
          <w:b/>
          <w:bCs/>
          <w:color w:val="000000" w:themeColor="text1"/>
          <w:sz w:val="18"/>
          <w:szCs w:val="18"/>
          <w:u w:val="single"/>
          <w:lang w:val="es-AR"/>
        </w:rPr>
        <w:t>Acerca de Winner Group</w:t>
      </w:r>
      <w:r w:rsidR="1ACD48E8" w:rsidRPr="59A828A0">
        <w:rPr>
          <w:rStyle w:val="normaltextrun"/>
          <w:rFonts w:ascii="Aptos" w:eastAsia="Aptos" w:hAnsi="Aptos" w:cs="Aptos"/>
          <w:b/>
          <w:bCs/>
          <w:color w:val="000000" w:themeColor="text1"/>
          <w:sz w:val="18"/>
          <w:szCs w:val="18"/>
          <w:u w:val="single"/>
          <w:lang w:val="es-AR"/>
        </w:rPr>
        <w:t>.</w:t>
      </w:r>
      <w:r w:rsidR="1ACD48E8" w:rsidRPr="59A828A0">
        <w:rPr>
          <w:rStyle w:val="eop"/>
          <w:rFonts w:ascii="Aptos" w:eastAsia="Aptos" w:hAnsi="Aptos" w:cs="Aptos"/>
          <w:color w:val="000000" w:themeColor="text1"/>
          <w:sz w:val="18"/>
          <w:szCs w:val="18"/>
          <w:lang w:val="es-AR"/>
        </w:rPr>
        <w:t> </w:t>
      </w:r>
    </w:p>
    <w:p w14:paraId="0679F654" w14:textId="4DC96015" w:rsidR="59A828A0" w:rsidRDefault="124A1CE8" w:rsidP="011BDD60">
      <w:pPr>
        <w:spacing w:after="0" w:line="240" w:lineRule="auto"/>
        <w:jc w:val="both"/>
        <w:rPr>
          <w:rFonts w:ascii="Aptos" w:eastAsia="Aptos" w:hAnsi="Aptos" w:cs="Aptos"/>
          <w:color w:val="222222"/>
          <w:sz w:val="18"/>
          <w:szCs w:val="18"/>
        </w:rPr>
      </w:pPr>
      <w:r w:rsidRPr="52756F2F">
        <w:rPr>
          <w:rStyle w:val="normaltextrun"/>
          <w:rFonts w:ascii="Aptos" w:eastAsia="Aptos" w:hAnsi="Aptos" w:cs="Aptos"/>
          <w:color w:val="000000" w:themeColor="text1"/>
          <w:sz w:val="18"/>
          <w:szCs w:val="18"/>
          <w:lang w:val="es-AR"/>
        </w:rPr>
        <w:t>Winner Group, parte del grupo internacional C</w:t>
      </w:r>
      <w:r w:rsidR="4EBC8D6C" w:rsidRPr="52756F2F">
        <w:rPr>
          <w:rStyle w:val="normaltextrun"/>
          <w:rFonts w:ascii="Aptos" w:eastAsia="Aptos" w:hAnsi="Aptos" w:cs="Aptos"/>
          <w:color w:val="000000" w:themeColor="text1"/>
          <w:sz w:val="18"/>
          <w:szCs w:val="18"/>
          <w:lang w:val="es-AR"/>
        </w:rPr>
        <w:t>IRSA</w:t>
      </w:r>
      <w:r w:rsidRPr="52756F2F">
        <w:rPr>
          <w:rStyle w:val="normaltextrun"/>
          <w:rFonts w:ascii="Aptos" w:eastAsia="Aptos" w:hAnsi="Aptos" w:cs="Aptos"/>
          <w:color w:val="000000" w:themeColor="text1"/>
          <w:sz w:val="18"/>
          <w:szCs w:val="18"/>
          <w:lang w:val="es-AR"/>
        </w:rPr>
        <w:t xml:space="preserve">, es la compañía líder en entretenimiento en Colombia, ofreciendo experiencias innovadoras de juego, diversión y esparcimiento desde su fundación en el país. A través de marcas reconocidas como Hollywood Casino &amp; Café </w:t>
      </w:r>
      <w:proofErr w:type="spellStart"/>
      <w:r w:rsidRPr="52756F2F">
        <w:rPr>
          <w:rStyle w:val="normaltextrun"/>
          <w:rFonts w:ascii="Aptos" w:eastAsia="Aptos" w:hAnsi="Aptos" w:cs="Aptos"/>
          <w:color w:val="000000" w:themeColor="text1"/>
          <w:sz w:val="18"/>
          <w:szCs w:val="18"/>
          <w:lang w:val="es-AR"/>
        </w:rPr>
        <w:t>Concert</w:t>
      </w:r>
      <w:proofErr w:type="spellEnd"/>
      <w:r w:rsidRPr="52756F2F">
        <w:rPr>
          <w:rStyle w:val="normaltextrun"/>
          <w:rFonts w:ascii="Aptos" w:eastAsia="Aptos" w:hAnsi="Aptos" w:cs="Aptos"/>
          <w:color w:val="000000" w:themeColor="text1"/>
          <w:sz w:val="18"/>
          <w:szCs w:val="18"/>
          <w:lang w:val="es-AR"/>
        </w:rPr>
        <w:t>, Rio Casino, Rock’n Jazz Casino, Broadway Casino, Havana Casino, Caribe Casino y Condado Casino, la compañía brinda espacios de clase mundial con máquinas de azar, mesas de juego en vivo, apuestas deportivas, gastronomía y eventos de alto nivel.</w:t>
      </w:r>
      <w:r w:rsidR="0FB55B95" w:rsidRPr="52756F2F">
        <w:rPr>
          <w:rStyle w:val="normaltextrun"/>
          <w:rFonts w:ascii="Aptos" w:eastAsia="Aptos" w:hAnsi="Aptos" w:cs="Aptos"/>
          <w:color w:val="000000" w:themeColor="text1"/>
          <w:sz w:val="18"/>
          <w:szCs w:val="18"/>
          <w:lang w:val="es-AR"/>
        </w:rPr>
        <w:t xml:space="preserve"> </w:t>
      </w:r>
      <w:r w:rsidRPr="52756F2F">
        <w:rPr>
          <w:rStyle w:val="normaltextrun"/>
          <w:rFonts w:ascii="Aptos" w:eastAsia="Aptos" w:hAnsi="Aptos" w:cs="Aptos"/>
          <w:color w:val="222222"/>
          <w:sz w:val="18"/>
          <w:szCs w:val="18"/>
          <w:lang w:val="es-AR"/>
        </w:rPr>
        <w:t>Para más información sobre Winner Group y sus experiencias de entretenimiento, visita:</w:t>
      </w:r>
      <w:r w:rsidR="1A6FB1B4" w:rsidRPr="52756F2F">
        <w:rPr>
          <w:rStyle w:val="normaltextrun"/>
          <w:rFonts w:ascii="Aptos" w:eastAsia="Aptos" w:hAnsi="Aptos" w:cs="Aptos"/>
          <w:color w:val="222222"/>
          <w:sz w:val="18"/>
          <w:szCs w:val="18"/>
          <w:lang w:val="es-AR"/>
        </w:rPr>
        <w:t xml:space="preserve"> </w:t>
      </w:r>
      <w:hyperlink r:id="rId10">
        <w:r w:rsidRPr="52756F2F">
          <w:rPr>
            <w:rStyle w:val="Hipervnculo"/>
            <w:rFonts w:ascii="Aptos" w:eastAsia="Aptos" w:hAnsi="Aptos" w:cs="Aptos"/>
            <w:sz w:val="18"/>
            <w:szCs w:val="18"/>
            <w:lang w:val="es-AR"/>
          </w:rPr>
          <w:t>www.winnergroup.com.co</w:t>
        </w:r>
      </w:hyperlink>
      <w:r w:rsidRPr="52756F2F">
        <w:rPr>
          <w:rStyle w:val="normaltextrun"/>
          <w:rFonts w:ascii="Aptos" w:eastAsia="Aptos" w:hAnsi="Aptos" w:cs="Aptos"/>
          <w:color w:val="222222"/>
          <w:sz w:val="18"/>
          <w:szCs w:val="18"/>
          <w:lang w:val="es-AR"/>
        </w:rPr>
        <w:t>.</w:t>
      </w:r>
    </w:p>
    <w:sectPr w:rsidR="59A828A0" w:rsidSect="00A01220">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350D9" w14:textId="77777777" w:rsidR="00BD537A" w:rsidRDefault="00BD537A" w:rsidP="00064486">
      <w:pPr>
        <w:spacing w:after="0" w:line="240" w:lineRule="auto"/>
      </w:pPr>
      <w:r>
        <w:separator/>
      </w:r>
    </w:p>
  </w:endnote>
  <w:endnote w:type="continuationSeparator" w:id="0">
    <w:p w14:paraId="6FD930ED" w14:textId="77777777" w:rsidR="00BD537A" w:rsidRDefault="00BD537A" w:rsidP="00064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45"/>
      <w:gridCol w:w="2945"/>
      <w:gridCol w:w="2945"/>
    </w:tblGrid>
    <w:tr w:rsidR="412BB7E4" w14:paraId="424EF983" w14:textId="77777777" w:rsidTr="412BB7E4">
      <w:trPr>
        <w:trHeight w:val="300"/>
      </w:trPr>
      <w:tc>
        <w:tcPr>
          <w:tcW w:w="2945" w:type="dxa"/>
        </w:tcPr>
        <w:p w14:paraId="5B5CB166" w14:textId="33782355" w:rsidR="412BB7E4" w:rsidRDefault="412BB7E4" w:rsidP="412BB7E4">
          <w:pPr>
            <w:pStyle w:val="Encabezado"/>
            <w:ind w:left="-115"/>
          </w:pPr>
        </w:p>
      </w:tc>
      <w:tc>
        <w:tcPr>
          <w:tcW w:w="2945" w:type="dxa"/>
        </w:tcPr>
        <w:p w14:paraId="6759D3A9" w14:textId="2078E18F" w:rsidR="412BB7E4" w:rsidRDefault="412BB7E4" w:rsidP="412BB7E4">
          <w:pPr>
            <w:pStyle w:val="Encabezado"/>
            <w:jc w:val="center"/>
          </w:pPr>
        </w:p>
      </w:tc>
      <w:tc>
        <w:tcPr>
          <w:tcW w:w="2945" w:type="dxa"/>
        </w:tcPr>
        <w:p w14:paraId="22FCDC73" w14:textId="4B1E5CA6" w:rsidR="412BB7E4" w:rsidRDefault="412BB7E4" w:rsidP="412BB7E4">
          <w:pPr>
            <w:pStyle w:val="Encabezado"/>
            <w:ind w:right="-115"/>
            <w:jc w:val="right"/>
          </w:pPr>
        </w:p>
      </w:tc>
    </w:tr>
  </w:tbl>
  <w:p w14:paraId="3DE04EA5" w14:textId="3E57AC50" w:rsidR="412BB7E4" w:rsidRDefault="412BB7E4" w:rsidP="412BB7E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F98F3" w14:textId="77777777" w:rsidR="00BD537A" w:rsidRDefault="00BD537A" w:rsidP="00064486">
      <w:pPr>
        <w:spacing w:after="0" w:line="240" w:lineRule="auto"/>
      </w:pPr>
      <w:r>
        <w:separator/>
      </w:r>
    </w:p>
  </w:footnote>
  <w:footnote w:type="continuationSeparator" w:id="0">
    <w:p w14:paraId="5447B5A9" w14:textId="77777777" w:rsidR="00BD537A" w:rsidRDefault="00BD537A" w:rsidP="00064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3E0D9" w14:textId="1E94813D" w:rsidR="7228FEAE" w:rsidRDefault="59A828A0" w:rsidP="59A828A0">
    <w:pPr>
      <w:jc w:val="center"/>
    </w:pPr>
    <w:r>
      <w:rPr>
        <w:noProof/>
      </w:rPr>
      <w:drawing>
        <wp:inline distT="0" distB="0" distL="0" distR="0" wp14:anchorId="5256A050" wp14:editId="4F52222D">
          <wp:extent cx="621282" cy="624604"/>
          <wp:effectExtent l="0" t="0" r="0" b="0"/>
          <wp:docPr id="15328182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43169" name=""/>
                  <pic:cNvPicPr/>
                </pic:nvPicPr>
                <pic:blipFill>
                  <a:blip r:embed="rId1">
                    <a:extLst>
                      <a:ext uri="{28A0092B-C50C-407E-A947-70E740481C1C}">
                        <a14:useLocalDpi xmlns:a14="http://schemas.microsoft.com/office/drawing/2010/main"/>
                      </a:ext>
                    </a:extLst>
                  </a:blip>
                  <a:stretch>
                    <a:fillRect/>
                  </a:stretch>
                </pic:blipFill>
                <pic:spPr>
                  <a:xfrm>
                    <a:off x="0" y="0"/>
                    <a:ext cx="621282" cy="6246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86BD8"/>
    <w:multiLevelType w:val="multilevel"/>
    <w:tmpl w:val="0E7A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B3B1B"/>
    <w:multiLevelType w:val="hybridMultilevel"/>
    <w:tmpl w:val="929CD0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949577B"/>
    <w:multiLevelType w:val="multilevel"/>
    <w:tmpl w:val="919C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701C4D"/>
    <w:multiLevelType w:val="multilevel"/>
    <w:tmpl w:val="B578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661831">
    <w:abstractNumId w:val="1"/>
  </w:num>
  <w:num w:numId="2" w16cid:durableId="1948543619">
    <w:abstractNumId w:val="3"/>
  </w:num>
  <w:num w:numId="3" w16cid:durableId="1693461147">
    <w:abstractNumId w:val="0"/>
  </w:num>
  <w:num w:numId="4" w16cid:durableId="1296059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D13"/>
    <w:rsid w:val="0000438C"/>
    <w:rsid w:val="000078CA"/>
    <w:rsid w:val="00053557"/>
    <w:rsid w:val="00057A49"/>
    <w:rsid w:val="00064486"/>
    <w:rsid w:val="000A0C65"/>
    <w:rsid w:val="000E28EC"/>
    <w:rsid w:val="00132948"/>
    <w:rsid w:val="00147C48"/>
    <w:rsid w:val="0019084C"/>
    <w:rsid w:val="001D2F79"/>
    <w:rsid w:val="00206D13"/>
    <w:rsid w:val="0027196D"/>
    <w:rsid w:val="002A78B4"/>
    <w:rsid w:val="002C2AF6"/>
    <w:rsid w:val="002E0534"/>
    <w:rsid w:val="002E1815"/>
    <w:rsid w:val="002F2A81"/>
    <w:rsid w:val="00312F42"/>
    <w:rsid w:val="00361B7A"/>
    <w:rsid w:val="003863F8"/>
    <w:rsid w:val="003E0324"/>
    <w:rsid w:val="00404D3F"/>
    <w:rsid w:val="00407CBC"/>
    <w:rsid w:val="00431254"/>
    <w:rsid w:val="00481023"/>
    <w:rsid w:val="00490D6C"/>
    <w:rsid w:val="00493C8A"/>
    <w:rsid w:val="004A0DFF"/>
    <w:rsid w:val="004E7EBD"/>
    <w:rsid w:val="00505C8D"/>
    <w:rsid w:val="00592B28"/>
    <w:rsid w:val="005A3C63"/>
    <w:rsid w:val="005C7079"/>
    <w:rsid w:val="005E46C6"/>
    <w:rsid w:val="00604584"/>
    <w:rsid w:val="006148FE"/>
    <w:rsid w:val="00636CDE"/>
    <w:rsid w:val="006716F9"/>
    <w:rsid w:val="00681EDC"/>
    <w:rsid w:val="00684116"/>
    <w:rsid w:val="006911E8"/>
    <w:rsid w:val="006E2510"/>
    <w:rsid w:val="006E2CAA"/>
    <w:rsid w:val="00706429"/>
    <w:rsid w:val="0072166C"/>
    <w:rsid w:val="00750453"/>
    <w:rsid w:val="00750EB1"/>
    <w:rsid w:val="007623AD"/>
    <w:rsid w:val="00777B7B"/>
    <w:rsid w:val="00783B81"/>
    <w:rsid w:val="00791E8F"/>
    <w:rsid w:val="007A1A78"/>
    <w:rsid w:val="007D0495"/>
    <w:rsid w:val="008237F8"/>
    <w:rsid w:val="00840B55"/>
    <w:rsid w:val="0086339F"/>
    <w:rsid w:val="00876131"/>
    <w:rsid w:val="008C08F5"/>
    <w:rsid w:val="008C7152"/>
    <w:rsid w:val="008D7A61"/>
    <w:rsid w:val="008E64B9"/>
    <w:rsid w:val="00900FDE"/>
    <w:rsid w:val="00904754"/>
    <w:rsid w:val="00906CAC"/>
    <w:rsid w:val="00917ED1"/>
    <w:rsid w:val="00923394"/>
    <w:rsid w:val="00952879"/>
    <w:rsid w:val="009A3DFF"/>
    <w:rsid w:val="009C954D"/>
    <w:rsid w:val="009E2DF7"/>
    <w:rsid w:val="009F3AA0"/>
    <w:rsid w:val="00A01220"/>
    <w:rsid w:val="00A27C17"/>
    <w:rsid w:val="00A45C5C"/>
    <w:rsid w:val="00A86687"/>
    <w:rsid w:val="00A93F51"/>
    <w:rsid w:val="00AA3AB5"/>
    <w:rsid w:val="00B3629F"/>
    <w:rsid w:val="00B63FE7"/>
    <w:rsid w:val="00B865BC"/>
    <w:rsid w:val="00BB5B84"/>
    <w:rsid w:val="00BD537A"/>
    <w:rsid w:val="00BF5BF4"/>
    <w:rsid w:val="00C12C9A"/>
    <w:rsid w:val="00C21576"/>
    <w:rsid w:val="00C313CE"/>
    <w:rsid w:val="00C50A93"/>
    <w:rsid w:val="00C602FA"/>
    <w:rsid w:val="00C84F00"/>
    <w:rsid w:val="00CB1B72"/>
    <w:rsid w:val="00CB1EC3"/>
    <w:rsid w:val="00CB61A7"/>
    <w:rsid w:val="00CC6AD9"/>
    <w:rsid w:val="00D25AD3"/>
    <w:rsid w:val="00D25C92"/>
    <w:rsid w:val="00D34B44"/>
    <w:rsid w:val="00D51B72"/>
    <w:rsid w:val="00D9511E"/>
    <w:rsid w:val="00D97C0F"/>
    <w:rsid w:val="00DA222A"/>
    <w:rsid w:val="00DA377E"/>
    <w:rsid w:val="00DB2833"/>
    <w:rsid w:val="00DF106A"/>
    <w:rsid w:val="00DF2527"/>
    <w:rsid w:val="00DF549B"/>
    <w:rsid w:val="00E050BB"/>
    <w:rsid w:val="00E11407"/>
    <w:rsid w:val="00E117A4"/>
    <w:rsid w:val="00E566BA"/>
    <w:rsid w:val="00EB617E"/>
    <w:rsid w:val="00ED4C06"/>
    <w:rsid w:val="00ED5718"/>
    <w:rsid w:val="00F27F2D"/>
    <w:rsid w:val="00F35F08"/>
    <w:rsid w:val="00F37498"/>
    <w:rsid w:val="00F52268"/>
    <w:rsid w:val="00FA2183"/>
    <w:rsid w:val="00FA6581"/>
    <w:rsid w:val="00FC23C5"/>
    <w:rsid w:val="011BDD60"/>
    <w:rsid w:val="03B5C04A"/>
    <w:rsid w:val="03CEAB44"/>
    <w:rsid w:val="04DEE9C7"/>
    <w:rsid w:val="052C754A"/>
    <w:rsid w:val="054766F7"/>
    <w:rsid w:val="054D4407"/>
    <w:rsid w:val="05726505"/>
    <w:rsid w:val="059EE39A"/>
    <w:rsid w:val="05E32D22"/>
    <w:rsid w:val="06B075F9"/>
    <w:rsid w:val="06E50390"/>
    <w:rsid w:val="07023348"/>
    <w:rsid w:val="07CB096A"/>
    <w:rsid w:val="0810B370"/>
    <w:rsid w:val="0891E75C"/>
    <w:rsid w:val="08D042BD"/>
    <w:rsid w:val="09107E74"/>
    <w:rsid w:val="092E184B"/>
    <w:rsid w:val="0959AF63"/>
    <w:rsid w:val="0976FE78"/>
    <w:rsid w:val="0A0AB276"/>
    <w:rsid w:val="0A2B4F07"/>
    <w:rsid w:val="0A44B2AA"/>
    <w:rsid w:val="0AC50987"/>
    <w:rsid w:val="0B0F9266"/>
    <w:rsid w:val="0B16427B"/>
    <w:rsid w:val="0B8B3298"/>
    <w:rsid w:val="0BAFBCAD"/>
    <w:rsid w:val="0BCDA8A2"/>
    <w:rsid w:val="0C451DE9"/>
    <w:rsid w:val="0C825CFD"/>
    <w:rsid w:val="0C8E249F"/>
    <w:rsid w:val="0CEA040C"/>
    <w:rsid w:val="0D2495E4"/>
    <w:rsid w:val="0E0DB44E"/>
    <w:rsid w:val="0E10DA82"/>
    <w:rsid w:val="0E11BCE1"/>
    <w:rsid w:val="0E61D17F"/>
    <w:rsid w:val="0F389E12"/>
    <w:rsid w:val="0F92EFA4"/>
    <w:rsid w:val="0FB55B95"/>
    <w:rsid w:val="101237AE"/>
    <w:rsid w:val="109C4502"/>
    <w:rsid w:val="10F3D970"/>
    <w:rsid w:val="114654EC"/>
    <w:rsid w:val="1149F865"/>
    <w:rsid w:val="11702A27"/>
    <w:rsid w:val="119E941A"/>
    <w:rsid w:val="11CEF0B6"/>
    <w:rsid w:val="11FEA4BD"/>
    <w:rsid w:val="124A1CE8"/>
    <w:rsid w:val="126D4E16"/>
    <w:rsid w:val="1390B5E5"/>
    <w:rsid w:val="14E06574"/>
    <w:rsid w:val="153B422F"/>
    <w:rsid w:val="15890849"/>
    <w:rsid w:val="174424D9"/>
    <w:rsid w:val="18199924"/>
    <w:rsid w:val="184026FC"/>
    <w:rsid w:val="184A29C6"/>
    <w:rsid w:val="18B8BF85"/>
    <w:rsid w:val="194B3208"/>
    <w:rsid w:val="194EEF76"/>
    <w:rsid w:val="1965E0AE"/>
    <w:rsid w:val="197101BD"/>
    <w:rsid w:val="19815BCC"/>
    <w:rsid w:val="1A6FB1B4"/>
    <w:rsid w:val="1ACD48E8"/>
    <w:rsid w:val="1B7442B4"/>
    <w:rsid w:val="1BEA5977"/>
    <w:rsid w:val="1BFA5760"/>
    <w:rsid w:val="1C6F3241"/>
    <w:rsid w:val="1CB00DE7"/>
    <w:rsid w:val="1CE9B4B3"/>
    <w:rsid w:val="1D702BE9"/>
    <w:rsid w:val="1DF9E3DA"/>
    <w:rsid w:val="1E2839C0"/>
    <w:rsid w:val="1EA0DDCB"/>
    <w:rsid w:val="1EB4DA19"/>
    <w:rsid w:val="1F356D59"/>
    <w:rsid w:val="1F3C3CA4"/>
    <w:rsid w:val="1F618782"/>
    <w:rsid w:val="2078157B"/>
    <w:rsid w:val="209CAB81"/>
    <w:rsid w:val="20B5BE08"/>
    <w:rsid w:val="20F6E7FE"/>
    <w:rsid w:val="2249BF0E"/>
    <w:rsid w:val="2355BE56"/>
    <w:rsid w:val="2428564F"/>
    <w:rsid w:val="242889F4"/>
    <w:rsid w:val="24DF312E"/>
    <w:rsid w:val="259AB048"/>
    <w:rsid w:val="25F93378"/>
    <w:rsid w:val="25FCCDE7"/>
    <w:rsid w:val="267FFDA6"/>
    <w:rsid w:val="26CA05E6"/>
    <w:rsid w:val="2730876B"/>
    <w:rsid w:val="27481077"/>
    <w:rsid w:val="2762C9EB"/>
    <w:rsid w:val="281AE46A"/>
    <w:rsid w:val="2869A1C0"/>
    <w:rsid w:val="286A9B0C"/>
    <w:rsid w:val="28761380"/>
    <w:rsid w:val="287DBEE3"/>
    <w:rsid w:val="2891B49E"/>
    <w:rsid w:val="290AFE32"/>
    <w:rsid w:val="2969A15D"/>
    <w:rsid w:val="296C9182"/>
    <w:rsid w:val="29B82AD3"/>
    <w:rsid w:val="2A72D024"/>
    <w:rsid w:val="2A7E0E6D"/>
    <w:rsid w:val="2A88215B"/>
    <w:rsid w:val="2B2BF0F6"/>
    <w:rsid w:val="2B6AECEB"/>
    <w:rsid w:val="2B7897E0"/>
    <w:rsid w:val="2BE46339"/>
    <w:rsid w:val="2C3ED53E"/>
    <w:rsid w:val="2D783E4A"/>
    <w:rsid w:val="2D8A011C"/>
    <w:rsid w:val="2DD32C74"/>
    <w:rsid w:val="2E27E5D2"/>
    <w:rsid w:val="2E3A6B76"/>
    <w:rsid w:val="2EAC2732"/>
    <w:rsid w:val="2EF0FA37"/>
    <w:rsid w:val="2F8E4E03"/>
    <w:rsid w:val="302AF649"/>
    <w:rsid w:val="309F4863"/>
    <w:rsid w:val="30B5EB16"/>
    <w:rsid w:val="30F65209"/>
    <w:rsid w:val="31497C95"/>
    <w:rsid w:val="315D3469"/>
    <w:rsid w:val="31B58314"/>
    <w:rsid w:val="31BACC63"/>
    <w:rsid w:val="31C24919"/>
    <w:rsid w:val="31F23256"/>
    <w:rsid w:val="3271F2AE"/>
    <w:rsid w:val="328A53E1"/>
    <w:rsid w:val="335E605F"/>
    <w:rsid w:val="33642A08"/>
    <w:rsid w:val="33C6A678"/>
    <w:rsid w:val="349E431C"/>
    <w:rsid w:val="34CC90C3"/>
    <w:rsid w:val="34D0844D"/>
    <w:rsid w:val="353AB0FF"/>
    <w:rsid w:val="356B5C81"/>
    <w:rsid w:val="36DDF542"/>
    <w:rsid w:val="37A6723C"/>
    <w:rsid w:val="37D61371"/>
    <w:rsid w:val="37E7298D"/>
    <w:rsid w:val="382E85D7"/>
    <w:rsid w:val="3870E863"/>
    <w:rsid w:val="38F1BE09"/>
    <w:rsid w:val="39546809"/>
    <w:rsid w:val="396FE1DE"/>
    <w:rsid w:val="3A83ECAF"/>
    <w:rsid w:val="3CADCAF5"/>
    <w:rsid w:val="3D79DD15"/>
    <w:rsid w:val="3DBFA5E0"/>
    <w:rsid w:val="3DE7A703"/>
    <w:rsid w:val="3E014E21"/>
    <w:rsid w:val="3E6D05A0"/>
    <w:rsid w:val="3EA43624"/>
    <w:rsid w:val="3EB53F20"/>
    <w:rsid w:val="3EBEC725"/>
    <w:rsid w:val="3EBFAF3E"/>
    <w:rsid w:val="3F2EA978"/>
    <w:rsid w:val="3FA59716"/>
    <w:rsid w:val="3FFF9199"/>
    <w:rsid w:val="40492DEA"/>
    <w:rsid w:val="405FD595"/>
    <w:rsid w:val="40A5A11B"/>
    <w:rsid w:val="40B6EF7C"/>
    <w:rsid w:val="40F92B15"/>
    <w:rsid w:val="412BB7E4"/>
    <w:rsid w:val="41985826"/>
    <w:rsid w:val="41D1116E"/>
    <w:rsid w:val="421A691F"/>
    <w:rsid w:val="433EC6F4"/>
    <w:rsid w:val="442D65DF"/>
    <w:rsid w:val="447EE7E3"/>
    <w:rsid w:val="44A25FD3"/>
    <w:rsid w:val="4561602D"/>
    <w:rsid w:val="46A415E5"/>
    <w:rsid w:val="46CFFB77"/>
    <w:rsid w:val="4739615E"/>
    <w:rsid w:val="4810B397"/>
    <w:rsid w:val="4893254F"/>
    <w:rsid w:val="48C57B38"/>
    <w:rsid w:val="49112A52"/>
    <w:rsid w:val="492A57E9"/>
    <w:rsid w:val="497C1DA7"/>
    <w:rsid w:val="498AA9F9"/>
    <w:rsid w:val="4A9DC2B0"/>
    <w:rsid w:val="4ABB0C88"/>
    <w:rsid w:val="4AC471FB"/>
    <w:rsid w:val="4AFEB13F"/>
    <w:rsid w:val="4B19886A"/>
    <w:rsid w:val="4B294B8C"/>
    <w:rsid w:val="4BB3E123"/>
    <w:rsid w:val="4C3D8C38"/>
    <w:rsid w:val="4CC93923"/>
    <w:rsid w:val="4CD4D5EF"/>
    <w:rsid w:val="4D0FDCD8"/>
    <w:rsid w:val="4E0E5262"/>
    <w:rsid w:val="4EBC8D6C"/>
    <w:rsid w:val="4ECAD427"/>
    <w:rsid w:val="4EEA438C"/>
    <w:rsid w:val="4F52E27D"/>
    <w:rsid w:val="501E2284"/>
    <w:rsid w:val="50B11E6A"/>
    <w:rsid w:val="50F6C3B5"/>
    <w:rsid w:val="51207212"/>
    <w:rsid w:val="512D1598"/>
    <w:rsid w:val="512E9529"/>
    <w:rsid w:val="52022DDC"/>
    <w:rsid w:val="524363E1"/>
    <w:rsid w:val="52626CBD"/>
    <w:rsid w:val="52756F2F"/>
    <w:rsid w:val="5288ACFC"/>
    <w:rsid w:val="52BE5D26"/>
    <w:rsid w:val="53553013"/>
    <w:rsid w:val="544FBD57"/>
    <w:rsid w:val="54605BD7"/>
    <w:rsid w:val="5489789A"/>
    <w:rsid w:val="54B1287D"/>
    <w:rsid w:val="54BB8156"/>
    <w:rsid w:val="54E545BE"/>
    <w:rsid w:val="54F4FC2F"/>
    <w:rsid w:val="555E7A1C"/>
    <w:rsid w:val="556DA50F"/>
    <w:rsid w:val="5582597D"/>
    <w:rsid w:val="56380FD3"/>
    <w:rsid w:val="56B7BF39"/>
    <w:rsid w:val="5784383F"/>
    <w:rsid w:val="57934E29"/>
    <w:rsid w:val="57C4BAC4"/>
    <w:rsid w:val="582CD169"/>
    <w:rsid w:val="583F4C45"/>
    <w:rsid w:val="592754EE"/>
    <w:rsid w:val="596CCE75"/>
    <w:rsid w:val="596F05BC"/>
    <w:rsid w:val="59A828A0"/>
    <w:rsid w:val="59BFFA95"/>
    <w:rsid w:val="5A501052"/>
    <w:rsid w:val="5A63E571"/>
    <w:rsid w:val="5A8470FF"/>
    <w:rsid w:val="5A871C61"/>
    <w:rsid w:val="5A956F35"/>
    <w:rsid w:val="5AA09B94"/>
    <w:rsid w:val="5ADB5281"/>
    <w:rsid w:val="5B0F74E7"/>
    <w:rsid w:val="5B307760"/>
    <w:rsid w:val="5C9B855D"/>
    <w:rsid w:val="5CA526FE"/>
    <w:rsid w:val="5DA8F0AD"/>
    <w:rsid w:val="5DC752C0"/>
    <w:rsid w:val="5E4876A6"/>
    <w:rsid w:val="5EE558E7"/>
    <w:rsid w:val="5EFDA726"/>
    <w:rsid w:val="5F47F1A6"/>
    <w:rsid w:val="5F51C06A"/>
    <w:rsid w:val="5F8FCA9B"/>
    <w:rsid w:val="60B373C4"/>
    <w:rsid w:val="60C65481"/>
    <w:rsid w:val="60F0D1ED"/>
    <w:rsid w:val="611DE2E8"/>
    <w:rsid w:val="619D91C8"/>
    <w:rsid w:val="62516D16"/>
    <w:rsid w:val="62577084"/>
    <w:rsid w:val="62681D73"/>
    <w:rsid w:val="6280ABC3"/>
    <w:rsid w:val="65257B0D"/>
    <w:rsid w:val="66124764"/>
    <w:rsid w:val="66354301"/>
    <w:rsid w:val="665000BA"/>
    <w:rsid w:val="66EDE8B1"/>
    <w:rsid w:val="670A082A"/>
    <w:rsid w:val="675C902B"/>
    <w:rsid w:val="67756108"/>
    <w:rsid w:val="67A457E4"/>
    <w:rsid w:val="67DD6C4A"/>
    <w:rsid w:val="68129F45"/>
    <w:rsid w:val="6816D2DE"/>
    <w:rsid w:val="69E24884"/>
    <w:rsid w:val="6A3CC09F"/>
    <w:rsid w:val="6A66CBD0"/>
    <w:rsid w:val="6A6B0B01"/>
    <w:rsid w:val="6A80D87D"/>
    <w:rsid w:val="6AAE5A7A"/>
    <w:rsid w:val="6AD4FA58"/>
    <w:rsid w:val="6B96D0C0"/>
    <w:rsid w:val="6B970DB2"/>
    <w:rsid w:val="6C559177"/>
    <w:rsid w:val="6CC84F57"/>
    <w:rsid w:val="6CEB4932"/>
    <w:rsid w:val="6D24D962"/>
    <w:rsid w:val="6D2D74AC"/>
    <w:rsid w:val="6D35816E"/>
    <w:rsid w:val="6DF71AAC"/>
    <w:rsid w:val="6E8D3AB9"/>
    <w:rsid w:val="6F05A469"/>
    <w:rsid w:val="6F897B53"/>
    <w:rsid w:val="6FF013AB"/>
    <w:rsid w:val="70C7F0D2"/>
    <w:rsid w:val="712416FE"/>
    <w:rsid w:val="719FCD32"/>
    <w:rsid w:val="71C2CC12"/>
    <w:rsid w:val="7228FEAE"/>
    <w:rsid w:val="7240FF50"/>
    <w:rsid w:val="72AF3577"/>
    <w:rsid w:val="73EA0E67"/>
    <w:rsid w:val="74AD0184"/>
    <w:rsid w:val="74AFB61D"/>
    <w:rsid w:val="74FA4FEC"/>
    <w:rsid w:val="756EC188"/>
    <w:rsid w:val="77250D0A"/>
    <w:rsid w:val="77521796"/>
    <w:rsid w:val="77730B74"/>
    <w:rsid w:val="78082254"/>
    <w:rsid w:val="78233F68"/>
    <w:rsid w:val="784B409D"/>
    <w:rsid w:val="78DA6BFB"/>
    <w:rsid w:val="7956274D"/>
    <w:rsid w:val="7958ECBC"/>
    <w:rsid w:val="7A6201C4"/>
    <w:rsid w:val="7AE2AF87"/>
    <w:rsid w:val="7B4D6D04"/>
    <w:rsid w:val="7CDA4B04"/>
    <w:rsid w:val="7D53719D"/>
    <w:rsid w:val="7D835194"/>
    <w:rsid w:val="7D848300"/>
    <w:rsid w:val="7E29C450"/>
    <w:rsid w:val="7E4C6A6D"/>
    <w:rsid w:val="7E51DC9C"/>
    <w:rsid w:val="7E5AF4FD"/>
    <w:rsid w:val="7E5E5864"/>
    <w:rsid w:val="7E8279F0"/>
    <w:rsid w:val="7F6BBCB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F2E3C"/>
  <w15:chartTrackingRefBased/>
  <w15:docId w15:val="{5FF84CA2-FA6F-4F0B-987B-4069EEEF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06D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06D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06D1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06D1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06D1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06D1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06D1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06D1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06D1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06D1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06D1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06D1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06D1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06D1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06D1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06D1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06D1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06D13"/>
    <w:rPr>
      <w:rFonts w:eastAsiaTheme="majorEastAsia" w:cstheme="majorBidi"/>
      <w:color w:val="272727" w:themeColor="text1" w:themeTint="D8"/>
    </w:rPr>
  </w:style>
  <w:style w:type="paragraph" w:styleId="Ttulo">
    <w:name w:val="Title"/>
    <w:basedOn w:val="Normal"/>
    <w:next w:val="Normal"/>
    <w:link w:val="TtuloCar"/>
    <w:uiPriority w:val="10"/>
    <w:qFormat/>
    <w:rsid w:val="00206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06D1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06D1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06D1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06D13"/>
    <w:pPr>
      <w:spacing w:before="160"/>
      <w:jc w:val="center"/>
    </w:pPr>
    <w:rPr>
      <w:i/>
      <w:iCs/>
      <w:color w:val="404040" w:themeColor="text1" w:themeTint="BF"/>
    </w:rPr>
  </w:style>
  <w:style w:type="character" w:customStyle="1" w:styleId="CitaCar">
    <w:name w:val="Cita Car"/>
    <w:basedOn w:val="Fuentedeprrafopredeter"/>
    <w:link w:val="Cita"/>
    <w:uiPriority w:val="29"/>
    <w:rsid w:val="00206D13"/>
    <w:rPr>
      <w:i/>
      <w:iCs/>
      <w:color w:val="404040" w:themeColor="text1" w:themeTint="BF"/>
    </w:rPr>
  </w:style>
  <w:style w:type="paragraph" w:styleId="Prrafodelista">
    <w:name w:val="List Paragraph"/>
    <w:basedOn w:val="Normal"/>
    <w:uiPriority w:val="34"/>
    <w:qFormat/>
    <w:rsid w:val="00206D13"/>
    <w:pPr>
      <w:ind w:left="720"/>
      <w:contextualSpacing/>
    </w:pPr>
  </w:style>
  <w:style w:type="character" w:styleId="nfasisintenso">
    <w:name w:val="Intense Emphasis"/>
    <w:basedOn w:val="Fuentedeprrafopredeter"/>
    <w:uiPriority w:val="21"/>
    <w:qFormat/>
    <w:rsid w:val="00206D13"/>
    <w:rPr>
      <w:i/>
      <w:iCs/>
      <w:color w:val="2F5496" w:themeColor="accent1" w:themeShade="BF"/>
    </w:rPr>
  </w:style>
  <w:style w:type="paragraph" w:styleId="Citadestacada">
    <w:name w:val="Intense Quote"/>
    <w:basedOn w:val="Normal"/>
    <w:next w:val="Normal"/>
    <w:link w:val="CitadestacadaCar"/>
    <w:uiPriority w:val="30"/>
    <w:qFormat/>
    <w:rsid w:val="00206D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06D13"/>
    <w:rPr>
      <w:i/>
      <w:iCs/>
      <w:color w:val="2F5496" w:themeColor="accent1" w:themeShade="BF"/>
    </w:rPr>
  </w:style>
  <w:style w:type="character" w:styleId="Referenciaintensa">
    <w:name w:val="Intense Reference"/>
    <w:basedOn w:val="Fuentedeprrafopredeter"/>
    <w:uiPriority w:val="32"/>
    <w:qFormat/>
    <w:rsid w:val="00206D13"/>
    <w:rPr>
      <w:b/>
      <w:bCs/>
      <w:smallCaps/>
      <w:color w:val="2F5496" w:themeColor="accent1" w:themeShade="BF"/>
      <w:spacing w:val="5"/>
    </w:rPr>
  </w:style>
  <w:style w:type="paragraph" w:styleId="Encabezado">
    <w:name w:val="header"/>
    <w:basedOn w:val="Normal"/>
    <w:link w:val="EncabezadoCar"/>
    <w:uiPriority w:val="99"/>
    <w:unhideWhenUsed/>
    <w:rsid w:val="000644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64486"/>
  </w:style>
  <w:style w:type="paragraph" w:styleId="Piedepgina">
    <w:name w:val="footer"/>
    <w:basedOn w:val="Normal"/>
    <w:link w:val="PiedepginaCar"/>
    <w:uiPriority w:val="99"/>
    <w:unhideWhenUsed/>
    <w:rsid w:val="000644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4486"/>
  </w:style>
  <w:style w:type="paragraph" w:customStyle="1" w:styleId="paragraph">
    <w:name w:val="paragraph"/>
    <w:basedOn w:val="Normal"/>
    <w:rsid w:val="00906CAC"/>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character" w:customStyle="1" w:styleId="normaltextrun">
    <w:name w:val="normaltextrun"/>
    <w:basedOn w:val="Fuentedeprrafopredeter"/>
    <w:rsid w:val="00906CAC"/>
  </w:style>
  <w:style w:type="character" w:customStyle="1" w:styleId="eop">
    <w:name w:val="eop"/>
    <w:basedOn w:val="Fuentedeprrafopredeter"/>
    <w:rsid w:val="00906CAC"/>
  </w:style>
  <w:style w:type="character" w:styleId="Refdecomentario">
    <w:name w:val="annotation reference"/>
    <w:basedOn w:val="Fuentedeprrafopredeter"/>
    <w:uiPriority w:val="99"/>
    <w:semiHidden/>
    <w:unhideWhenUsed/>
    <w:rsid w:val="007A1A78"/>
    <w:rPr>
      <w:sz w:val="16"/>
      <w:szCs w:val="16"/>
    </w:rPr>
  </w:style>
  <w:style w:type="paragraph" w:styleId="Textocomentario">
    <w:name w:val="annotation text"/>
    <w:basedOn w:val="Normal"/>
    <w:link w:val="TextocomentarioCar"/>
    <w:uiPriority w:val="99"/>
    <w:semiHidden/>
    <w:unhideWhenUsed/>
    <w:rsid w:val="007A1A7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A1A78"/>
    <w:rPr>
      <w:sz w:val="20"/>
      <w:szCs w:val="20"/>
    </w:rPr>
  </w:style>
  <w:style w:type="paragraph" w:styleId="Asuntodelcomentario">
    <w:name w:val="annotation subject"/>
    <w:basedOn w:val="Textocomentario"/>
    <w:next w:val="Textocomentario"/>
    <w:link w:val="AsuntodelcomentarioCar"/>
    <w:uiPriority w:val="99"/>
    <w:semiHidden/>
    <w:unhideWhenUsed/>
    <w:rsid w:val="007A1A78"/>
    <w:rPr>
      <w:b/>
      <w:bCs/>
    </w:rPr>
  </w:style>
  <w:style w:type="character" w:customStyle="1" w:styleId="AsuntodelcomentarioCar">
    <w:name w:val="Asunto del comentario Car"/>
    <w:basedOn w:val="TextocomentarioCar"/>
    <w:link w:val="Asuntodelcomentario"/>
    <w:uiPriority w:val="99"/>
    <w:semiHidden/>
    <w:rsid w:val="007A1A78"/>
    <w:rPr>
      <w:b/>
      <w:bCs/>
      <w:sz w:val="20"/>
      <w:szCs w:val="20"/>
    </w:rPr>
  </w:style>
  <w:style w:type="character" w:styleId="Mencionar">
    <w:name w:val="Mention"/>
    <w:basedOn w:val="Fuentedeprrafopredeter"/>
    <w:uiPriority w:val="99"/>
    <w:unhideWhenUsed/>
    <w:rsid w:val="007A1A78"/>
    <w:rPr>
      <w:color w:val="2B579A"/>
      <w:shd w:val="clear" w:color="auto" w:fill="E1DFDD"/>
    </w:rPr>
  </w:style>
  <w:style w:type="character" w:styleId="Hipervnculo">
    <w:name w:val="Hyperlink"/>
    <w:basedOn w:val="Fuentedeprrafopredeter"/>
    <w:uiPriority w:val="99"/>
    <w:unhideWhenUsed/>
    <w:rsid w:val="1D702BE9"/>
    <w:rPr>
      <w:color w:val="0563C1"/>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525919">
      <w:bodyDiv w:val="1"/>
      <w:marLeft w:val="0"/>
      <w:marRight w:val="0"/>
      <w:marTop w:val="0"/>
      <w:marBottom w:val="0"/>
      <w:divBdr>
        <w:top w:val="none" w:sz="0" w:space="0" w:color="auto"/>
        <w:left w:val="none" w:sz="0" w:space="0" w:color="auto"/>
        <w:bottom w:val="none" w:sz="0" w:space="0" w:color="auto"/>
        <w:right w:val="none" w:sz="0" w:space="0" w:color="auto"/>
      </w:divBdr>
    </w:div>
    <w:div w:id="438334661">
      <w:bodyDiv w:val="1"/>
      <w:marLeft w:val="0"/>
      <w:marRight w:val="0"/>
      <w:marTop w:val="0"/>
      <w:marBottom w:val="0"/>
      <w:divBdr>
        <w:top w:val="none" w:sz="0" w:space="0" w:color="auto"/>
        <w:left w:val="none" w:sz="0" w:space="0" w:color="auto"/>
        <w:bottom w:val="none" w:sz="0" w:space="0" w:color="auto"/>
        <w:right w:val="none" w:sz="0" w:space="0" w:color="auto"/>
      </w:divBdr>
    </w:div>
    <w:div w:id="746535920">
      <w:bodyDiv w:val="1"/>
      <w:marLeft w:val="0"/>
      <w:marRight w:val="0"/>
      <w:marTop w:val="0"/>
      <w:marBottom w:val="0"/>
      <w:divBdr>
        <w:top w:val="none" w:sz="0" w:space="0" w:color="auto"/>
        <w:left w:val="none" w:sz="0" w:space="0" w:color="auto"/>
        <w:bottom w:val="none" w:sz="0" w:space="0" w:color="auto"/>
        <w:right w:val="none" w:sz="0" w:space="0" w:color="auto"/>
      </w:divBdr>
    </w:div>
    <w:div w:id="776756504">
      <w:bodyDiv w:val="1"/>
      <w:marLeft w:val="0"/>
      <w:marRight w:val="0"/>
      <w:marTop w:val="0"/>
      <w:marBottom w:val="0"/>
      <w:divBdr>
        <w:top w:val="none" w:sz="0" w:space="0" w:color="auto"/>
        <w:left w:val="none" w:sz="0" w:space="0" w:color="auto"/>
        <w:bottom w:val="none" w:sz="0" w:space="0" w:color="auto"/>
        <w:right w:val="none" w:sz="0" w:space="0" w:color="auto"/>
      </w:divBdr>
    </w:div>
    <w:div w:id="1185560358">
      <w:bodyDiv w:val="1"/>
      <w:marLeft w:val="0"/>
      <w:marRight w:val="0"/>
      <w:marTop w:val="0"/>
      <w:marBottom w:val="0"/>
      <w:divBdr>
        <w:top w:val="none" w:sz="0" w:space="0" w:color="auto"/>
        <w:left w:val="none" w:sz="0" w:space="0" w:color="auto"/>
        <w:bottom w:val="none" w:sz="0" w:space="0" w:color="auto"/>
        <w:right w:val="none" w:sz="0" w:space="0" w:color="auto"/>
      </w:divBdr>
    </w:div>
    <w:div w:id="1561288103">
      <w:bodyDiv w:val="1"/>
      <w:marLeft w:val="0"/>
      <w:marRight w:val="0"/>
      <w:marTop w:val="0"/>
      <w:marBottom w:val="0"/>
      <w:divBdr>
        <w:top w:val="none" w:sz="0" w:space="0" w:color="auto"/>
        <w:left w:val="none" w:sz="0" w:space="0" w:color="auto"/>
        <w:bottom w:val="none" w:sz="0" w:space="0" w:color="auto"/>
        <w:right w:val="none" w:sz="0" w:space="0" w:color="auto"/>
      </w:divBdr>
    </w:div>
    <w:div w:id="1936553152">
      <w:bodyDiv w:val="1"/>
      <w:marLeft w:val="0"/>
      <w:marRight w:val="0"/>
      <w:marTop w:val="0"/>
      <w:marBottom w:val="0"/>
      <w:divBdr>
        <w:top w:val="none" w:sz="0" w:space="0" w:color="auto"/>
        <w:left w:val="none" w:sz="0" w:space="0" w:color="auto"/>
        <w:bottom w:val="none" w:sz="0" w:space="0" w:color="auto"/>
        <w:right w:val="none" w:sz="0" w:space="0" w:color="auto"/>
      </w:divBdr>
    </w:div>
    <w:div w:id="203961841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winnergroup.com.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d6a8d3-177c-49bb-8fc2-e9c11db4c2ff" xsi:nil="true"/>
    <lcf76f155ced4ddcb4097134ff3c332f xmlns="a584d3ae-4910-48e8-8fde-890304efc3a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EF1A88937E26543AB7D367FC2B5BC0A" ma:contentTypeVersion="13" ma:contentTypeDescription="Crear nuevo documento." ma:contentTypeScope="" ma:versionID="f9effe702b2a7ba4f1ffb2bb29b3d59c">
  <xsd:schema xmlns:xsd="http://www.w3.org/2001/XMLSchema" xmlns:xs="http://www.w3.org/2001/XMLSchema" xmlns:p="http://schemas.microsoft.com/office/2006/metadata/properties" xmlns:ns2="a584d3ae-4910-48e8-8fde-890304efc3a8" xmlns:ns3="64d6a8d3-177c-49bb-8fc2-e9c11db4c2ff" targetNamespace="http://schemas.microsoft.com/office/2006/metadata/properties" ma:root="true" ma:fieldsID="3af2e097455cc1d60e53af3f3e6c417e" ns2:_="" ns3:_="">
    <xsd:import namespace="a584d3ae-4910-48e8-8fde-890304efc3a8"/>
    <xsd:import namespace="64d6a8d3-177c-49bb-8fc2-e9c11db4c2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4d3ae-4910-48e8-8fde-890304efc3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915d0ed9-1d72-4406-a286-7b29c8550a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6a8d3-177c-49bb-8fc2-e9c11db4c2f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92b31bd-9aec-46e8-94ef-5ea393446054}" ma:internalName="TaxCatchAll" ma:showField="CatchAllData" ma:web="64d6a8d3-177c-49bb-8fc2-e9c11db4c2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DC251F-AB81-4B38-86A4-67BAD0572C18}">
  <ds:schemaRefs>
    <ds:schemaRef ds:uri="http://schemas.microsoft.com/office/2006/metadata/properties"/>
    <ds:schemaRef ds:uri="http://schemas.microsoft.com/office/infopath/2007/PartnerControls"/>
    <ds:schemaRef ds:uri="64d6a8d3-177c-49bb-8fc2-e9c11db4c2ff"/>
    <ds:schemaRef ds:uri="a584d3ae-4910-48e8-8fde-890304efc3a8"/>
  </ds:schemaRefs>
</ds:datastoreItem>
</file>

<file path=customXml/itemProps2.xml><?xml version="1.0" encoding="utf-8"?>
<ds:datastoreItem xmlns:ds="http://schemas.openxmlformats.org/officeDocument/2006/customXml" ds:itemID="{D096F56C-6BA8-4D49-B528-1AB606FDC7F3}">
  <ds:schemaRefs>
    <ds:schemaRef ds:uri="http://schemas.microsoft.com/sharepoint/v3/contenttype/forms"/>
  </ds:schemaRefs>
</ds:datastoreItem>
</file>

<file path=customXml/itemProps3.xml><?xml version="1.0" encoding="utf-8"?>
<ds:datastoreItem xmlns:ds="http://schemas.openxmlformats.org/officeDocument/2006/customXml" ds:itemID="{F51AB79B-1794-4832-A6D8-970607B7C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4d3ae-4910-48e8-8fde-890304efc3a8"/>
    <ds:schemaRef ds:uri="64d6a8d3-177c-49bb-8fc2-e9c11db4c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6d255d9-7bfe-42f2-a01e-09634cc3a03b}" enabled="0" method="" siteId="{e6d255d9-7bfe-42f2-a01e-09634cc3a03b}"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656</Words>
  <Characters>3745</Characters>
  <Application>Microsoft Office Word</Application>
  <DocSecurity>0</DocSecurity>
  <Lines>31</Lines>
  <Paragraphs>8</Paragraphs>
  <ScaleCrop>false</ScaleCrop>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Norvayro Rodríguez Cruz</dc:creator>
  <cp:keywords/>
  <dc:description/>
  <cp:lastModifiedBy>Angélica María Bernal Jiménez</cp:lastModifiedBy>
  <cp:revision>2</cp:revision>
  <dcterms:created xsi:type="dcterms:W3CDTF">2026-09-28T14:03:00Z</dcterms:created>
  <dcterms:modified xsi:type="dcterms:W3CDTF">2026-09-28T14:03:00Z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0x0101005EF1A88937E26543AB7D367FC2B5BC0A</vt:lpwstr>
  </property>
  <property fmtid="{D5CDD505-2E9C-101B-9397-08002B2CF9AE}" pid="3" name="MediaServiceImageTags">
    <vt:lpwstr/>
  </property>
  <property fmtid="{D5CDD505-2E9C-101B-9397-08002B2CF9AE}" pid="4" name="Order">
    <vt:r8>977500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